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43" w:rsidRPr="00477A43" w:rsidRDefault="00477A43" w:rsidP="00477A43">
      <w:pPr>
        <w:pStyle w:val="Nadpis2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477A43">
        <w:rPr>
          <w:rFonts w:ascii="Verdana" w:hAnsi="Verdana"/>
          <w:color w:val="000000" w:themeColor="text1"/>
          <w:sz w:val="24"/>
          <w:szCs w:val="24"/>
        </w:rPr>
        <w:t>Návod sestavení podvozků GP200 rozvoru 2500 mm   1:120 TT</w:t>
      </w:r>
    </w:p>
    <w:p w:rsidR="00477A43" w:rsidRDefault="00477A43" w:rsidP="00477A4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cs-CZ"/>
        </w:rPr>
        <w:drawing>
          <wp:inline distT="0" distB="0" distL="0" distR="0">
            <wp:extent cx="2886075" cy="2165757"/>
            <wp:effectExtent l="19050" t="0" r="9525" b="0"/>
            <wp:docPr id="42" name="obrázek 42" descr="C:\Documents and Settings\Baruš\Dokumenty\Obrázky\Popis_GP200_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Baruš\Dokumenty\Obrázky\Popis_GP200_2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91" cy="216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43" w:rsidRPr="00477A43" w:rsidRDefault="00477A43" w:rsidP="00477A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Připravíme si hlavní dílky, 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 xml:space="preserve">kostru podvozku a masky - </w:t>
      </w:r>
      <w:proofErr w:type="spellStart"/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podélnice</w:t>
      </w:r>
      <w:proofErr w:type="spellEnd"/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. Kostru ohneme dle připravených rysek a připevníme na ni masky.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Složíme dílky dle číselného označení na sebe v daném pořadí "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1-2-3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" 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nosič pružin druhotného vypružení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, kde dílek "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1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" je ten úplně spodní. Ohneme dvě 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pružiny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druhotného vypružení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- dílky "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4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" a připevníme je na dílek "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3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". Složíme dílky dle číselného označení na sebe v daném pořadí "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5-6-7-8-9.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" 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kolébku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. Kde dílek "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5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" bude ten spodní. U dílku "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5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" ohneme držáček podélného táhla.</w:t>
      </w:r>
    </w:p>
    <w:p w:rsidR="00477A43" w:rsidRPr="00477A43" w:rsidRDefault="00477A43" w:rsidP="00477A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7" name="obrázek 7" descr="Gp200_2500_stavba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p200_2500_stavba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8" name="obrázek 8" descr="Gp200_2500_stavba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p200_2500_stavba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0" name="obrázek 10" descr="Gp200_2500_stavba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p200_2500_stavba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1" name="obrázek 11" descr="Gp200_2500_stavba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p200_2500_stavba9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43" w:rsidRDefault="00477A43" w:rsidP="00477A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Sestavený komplet dílků "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1-9.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" vložíme pod podélník přes 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závěs nosiče pružin 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a ze spodní strany zaletujeme. Provlékneme 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do ok nouzové závěsy nosiče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. ( Vedou z </w:t>
      </w:r>
      <w:proofErr w:type="gramStart"/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dílku "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1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" ). Ohneme</w:t>
      </w:r>
      <w:proofErr w:type="gramEnd"/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např. přes jehlový pilník</w:t>
      </w:r>
      <w:r w:rsidRPr="00477A43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4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pružiny prvotního vypružení 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na každou stranu podvozku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, 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stačí do tvaru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 "C" 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a připevníme je na daná místa. Ohneme 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tlumič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svislého vypružení 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a připevníme ho na střed </w:t>
      </w:r>
      <w:proofErr w:type="spellStart"/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podélnice</w:t>
      </w:r>
      <w:proofErr w:type="spellEnd"/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. 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Tlumič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je složen ze dvou dílků, ty vrstvíme na sebe. 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Podélné táhlo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 ( s pryžovým </w:t>
      </w:r>
      <w:proofErr w:type="gramStart"/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uložením ), připevníme</w:t>
      </w:r>
      <w:proofErr w:type="gramEnd"/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do připraveného oka "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na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dílku 5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" a na druhém konci na pružinu a pod kryt táhla - pro který je v podélníku připraven drobný otvor pro jeho uložení. Připravíme si dílky 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kryty ložisek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a krajní</w:t>
      </w:r>
      <w:r w:rsidRPr="00477A43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477A43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tlumiče 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- viz druhá fotografie níže. A postupně je vrstvíme na sebe v daném číselném pořadí. Kryty ložisek ještě opatříme snímači skluzu a dozdobíme je krytem snímačů.</w:t>
      </w:r>
    </w:p>
    <w:p w:rsidR="00477A43" w:rsidRPr="00477A43" w:rsidRDefault="00477A43" w:rsidP="00477A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2" name="obrázek 12" descr="Gp200_2500_stavba1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p200_2500_stavba1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4" name="obrázek 14" descr="Gp200_2500_stavba1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p200_2500_stavba1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5" name="obrázek 15" descr="Gp200_2500_stavba1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p200_2500_stavba1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21" name="obrázek 16" descr="Gp200_2500_stavba35_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p200_2500_stavba35_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43" w:rsidRPr="00477A43" w:rsidRDefault="00477A43" w:rsidP="00477A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b/>
          <w:bCs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57300"/>
            <wp:effectExtent l="19050" t="0" r="9525" b="0"/>
            <wp:docPr id="17" name="obrázek 17" descr="Gp200_2500_final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p200_2500_final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22" name="obrázek 18" descr="Bdmtee_cd24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dmtee_cd24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23" name="obrázek 19" descr="Bdmtee_cd7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dmtee_cd7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24" name="obrázek 20" descr="Bdmtee_cd9_2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dmtee_cd9_2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43" w:rsidRPr="00477A43" w:rsidRDefault="00477A43" w:rsidP="00477A4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Stavba podvozků není nijak náročná. Jelikož je podvozek kovový, máme zároveň vyřešen i případný přívod proudu z kolejí do vozu. Každý podvozek bude sbírat jeden pól. Pro vodič je v podvozku v horní části připraven malý otvor. Výřez podvozku směřujeme směrem ke konci vozu. Tím </w:t>
      </w:r>
      <w:proofErr w:type="gramStart"/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vzniká</w:t>
      </w:r>
      <w:proofErr w:type="gramEnd"/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velký prostor pro kinematiku krátkého </w:t>
      </w:r>
      <w:proofErr w:type="gramStart"/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spřáhla</w:t>
      </w:r>
      <w:proofErr w:type="gramEnd"/>
      <w:r w:rsidRPr="00477A43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. Při použití plastového rámu můžeme podvozky uchytit libovolným šroubem M2. Při použití kovového podvozku a zároveň pokud má vůz sbírat proud je dobré použít plastové šrouby M2, ty máme v nabídce.</w:t>
      </w:r>
    </w:p>
    <w:p w:rsidR="00477A43" w:rsidRDefault="00477A43" w:rsidP="00CF1D16">
      <w:pPr>
        <w:pStyle w:val="Normlnweb"/>
        <w:rPr>
          <w:rFonts w:ascii="Verdana" w:hAnsi="Verdana"/>
          <w:color w:val="000000"/>
          <w:sz w:val="15"/>
          <w:szCs w:val="15"/>
        </w:rPr>
      </w:pPr>
    </w:p>
    <w:p w:rsidR="00654A50" w:rsidRPr="00477A43" w:rsidRDefault="002A5AC9" w:rsidP="00477A43">
      <w:pPr>
        <w:pStyle w:val="Normlnweb"/>
        <w:rPr>
          <w:rStyle w:val="Siln"/>
          <w:b w:val="0"/>
          <w:bCs w:val="0"/>
        </w:rPr>
      </w:pPr>
      <w:r>
        <w:rPr>
          <w:rFonts w:ascii="Verdana" w:hAnsi="Verdana"/>
          <w:color w:val="000000"/>
          <w:sz w:val="15"/>
          <w:szCs w:val="15"/>
        </w:rPr>
        <w:t xml:space="preserve">Děkujeme Vám za zakoupení tohoto výrobku a přejeme příjemnou stavbu. Více najdete na </w:t>
      </w:r>
      <w:hyperlink r:id="rId29" w:history="1">
        <w:r w:rsidRPr="00670967">
          <w:rPr>
            <w:rStyle w:val="Hypertextovodkaz"/>
            <w:rFonts w:ascii="Verdana" w:hAnsi="Verdana"/>
            <w:sz w:val="15"/>
            <w:szCs w:val="15"/>
          </w:rPr>
          <w:t>www.modely-masinek.cz</w:t>
        </w:r>
      </w:hyperlink>
    </w:p>
    <w:sectPr w:rsidR="00654A50" w:rsidRPr="00477A43" w:rsidSect="009617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46C"/>
    <w:rsid w:val="001E6DE4"/>
    <w:rsid w:val="002A5AC9"/>
    <w:rsid w:val="00367103"/>
    <w:rsid w:val="0038479A"/>
    <w:rsid w:val="004131AC"/>
    <w:rsid w:val="00477A43"/>
    <w:rsid w:val="004E0EE0"/>
    <w:rsid w:val="00654A50"/>
    <w:rsid w:val="00753F64"/>
    <w:rsid w:val="0077529F"/>
    <w:rsid w:val="0080471E"/>
    <w:rsid w:val="00930E0F"/>
    <w:rsid w:val="009617E1"/>
    <w:rsid w:val="00A1046C"/>
    <w:rsid w:val="00A713A1"/>
    <w:rsid w:val="00A872F6"/>
    <w:rsid w:val="00BC5A95"/>
    <w:rsid w:val="00CF1D16"/>
    <w:rsid w:val="00D1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DE4"/>
  </w:style>
  <w:style w:type="paragraph" w:styleId="Nadpis2">
    <w:name w:val="heading 2"/>
    <w:basedOn w:val="Normln"/>
    <w:link w:val="Nadpis2Char"/>
    <w:uiPriority w:val="9"/>
    <w:qFormat/>
    <w:rsid w:val="00A10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3F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04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1046C"/>
    <w:rPr>
      <w:b/>
      <w:bCs/>
    </w:rPr>
  </w:style>
  <w:style w:type="paragraph" w:styleId="Normlnweb">
    <w:name w:val="Normal (Web)"/>
    <w:basedOn w:val="Normln"/>
    <w:uiPriority w:val="99"/>
    <w:unhideWhenUsed/>
    <w:rsid w:val="00A1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46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046C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3F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9617E1"/>
    <w:rPr>
      <w:i/>
      <w:iCs/>
    </w:rPr>
  </w:style>
  <w:style w:type="character" w:customStyle="1" w:styleId="apple-converted-space">
    <w:name w:val="apple-converted-space"/>
    <w:basedOn w:val="Standardnpsmoodstavce"/>
    <w:rsid w:val="00961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odely-masinek.cz/userFiles/gp200_2500_stavba10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://www.modely-masinek.cz/userFiles/gp200_2500_finale.jpg" TargetMode="External"/><Relationship Id="rId7" Type="http://schemas.openxmlformats.org/officeDocument/2006/relationships/hyperlink" Target="http://www.modely-masinek.cz/userFiles/gp200_2500_stavba2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modely-masinek.cz/userFiles/gp200_2500_stavba18.jpg" TargetMode="External"/><Relationship Id="rId25" Type="http://schemas.openxmlformats.org/officeDocument/2006/relationships/hyperlink" Target="http://www.modely-masinek.cz/userFiles/bdmtee_cd7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://www.modely-masinek.cz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modely-masinek.cz/userFiles/gp200_2500_stavba9.jpg" TargetMode="External"/><Relationship Id="rId24" Type="http://schemas.openxmlformats.org/officeDocument/2006/relationships/image" Target="media/image11.jpeg"/><Relationship Id="rId5" Type="http://schemas.openxmlformats.org/officeDocument/2006/relationships/hyperlink" Target="http://www.modely-masinek.cz/userFiles/gp200_2500_stavba1.jpg" TargetMode="External"/><Relationship Id="rId15" Type="http://schemas.openxmlformats.org/officeDocument/2006/relationships/hyperlink" Target="http://www.modely-masinek.cz/userFiles/gp200_2500_stavba12.jpg" TargetMode="External"/><Relationship Id="rId23" Type="http://schemas.openxmlformats.org/officeDocument/2006/relationships/hyperlink" Target="http://www.modely-masinek.cz/userFiles/bdmtee_cd24.jpg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hyperlink" Target="http://www.modely-masinek.cz/userFiles/gp200_2500_stavba35_2.jpg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modely-masinek.cz/userFiles/gp200_2500_stavba7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www.modely-masinek.cz/userFiles/bdmtee_cd9_2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Baruš</dc:creator>
  <cp:keywords/>
  <dc:description/>
  <cp:lastModifiedBy>Baruš</cp:lastModifiedBy>
  <cp:revision>2</cp:revision>
  <dcterms:created xsi:type="dcterms:W3CDTF">2014-06-05T10:23:00Z</dcterms:created>
  <dcterms:modified xsi:type="dcterms:W3CDTF">2014-06-05T10:23:00Z</dcterms:modified>
</cp:coreProperties>
</file>